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i/>
          <w:i/>
          <w:caps/>
          <w:lang w:val="en-US"/>
        </w:rPr>
      </w:pPr>
      <w:r>
        <w:rPr/>
        <w:drawing>
          <wp:inline distT="0" distB="0" distL="0" distR="0">
            <wp:extent cx="1190625" cy="1190625"/>
            <wp:effectExtent l="0" t="0" r="0" b="0"/>
            <wp:docPr id="1" name="Image 2" descr="Z:\document entreprise\donnees\CRPMEM NA\Outils administratifs et pratiques\Logo\CRPMEM logo VF\CRPME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Z:\document entreprise\donnees\CRPMEM NA\Outils administratifs et pratiques\Logo\CRPMEM logo VF\CRPMEM_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i/>
          <w:caps/>
          <w:lang w:val="en-US"/>
        </w:rPr>
        <w:t xml:space="preserve">      </w:t>
      </w:r>
      <w:r>
        <w:rPr>
          <w:rFonts w:cs="Arial" w:ascii="Arial" w:hAnsi="Arial"/>
          <w:b/>
          <w:i/>
          <w:caps/>
          <w:u w:val="single"/>
        </w:rPr>
        <w:t xml:space="preserve">     </w:t>
      </w:r>
      <w:r>
        <w:rPr>
          <w:rFonts w:cs="Arial" w:ascii="Arial" w:hAnsi="Arial"/>
          <w:b/>
          <w:i/>
          <w:caps/>
        </w:rPr>
        <w:t xml:space="preserve">                           </w:t>
      </w:r>
      <w:r>
        <w:rPr>
          <w:rFonts w:cs="Arial" w:ascii="Arial" w:hAnsi="Arial"/>
          <w:b/>
          <w:i/>
          <w:caps/>
        </w:rPr>
        <w:drawing>
          <wp:inline distT="0" distB="0" distL="0" distR="8890">
            <wp:extent cx="2810510" cy="670560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i/>
          <w:i/>
          <w:caps/>
          <w:u w:val="single"/>
          <w:lang w:val="en-US"/>
        </w:rPr>
      </w:pPr>
      <w:r>
        <w:rPr>
          <w:rFonts w:cs="Arial" w:ascii="Arial" w:hAnsi="Arial"/>
          <w:b/>
          <w:i/>
          <w:caps/>
          <w:u w:val="single"/>
          <w:lang w:val="en-US"/>
        </w:rPr>
      </w:r>
    </w:p>
    <w:p>
      <w:pPr>
        <w:pStyle w:val="Normal"/>
        <w:rPr>
          <w:rFonts w:ascii="Arial" w:hAnsi="Arial" w:cs="Arial"/>
          <w:b/>
          <w:b/>
          <w:i/>
          <w:i/>
          <w:caps/>
          <w:u w:val="single"/>
          <w:lang w:val="en-US"/>
        </w:rPr>
      </w:pPr>
      <w:r>
        <w:rPr>
          <w:rFonts w:cs="Arial" w:ascii="Arial" w:hAnsi="Arial"/>
          <w:b/>
          <w:i/>
          <w:caps/>
          <w:u w:val="single"/>
          <w:lang w:val="en-US"/>
        </w:rPr>
      </w:r>
    </w:p>
    <w:p>
      <w:pPr>
        <w:pStyle w:val="Normal"/>
        <w:tabs>
          <w:tab w:val="left" w:pos="7230" w:leader="none"/>
        </w:tabs>
        <w:spacing w:before="0" w:after="120"/>
        <w:jc w:val="both"/>
        <w:rPr/>
      </w:pPr>
      <w:r>
        <w:rPr>
          <w:rFonts w:cs="Arial" w:ascii="Arial" w:hAnsi="Arial"/>
          <w:b/>
          <w:u w:val="single"/>
          <w:lang w:val="en-US"/>
        </w:rPr>
        <w:t xml:space="preserve">DELIBERATION                           n° 2018 –  B65 (CRPMEM NA) / n° </w:t>
      </w:r>
      <w:r>
        <w:rPr>
          <w:rFonts w:cs="Arial" w:ascii="Arial" w:hAnsi="Arial"/>
          <w:b/>
          <w:u w:val="single"/>
          <w:lang w:val="en-US"/>
        </w:rPr>
        <w:t>4</w:t>
      </w:r>
      <w:r>
        <w:rPr>
          <w:rFonts w:cs="Arial" w:ascii="Arial" w:hAnsi="Arial"/>
          <w:b/>
          <w:u w:val="single"/>
          <w:lang w:val="en-US"/>
        </w:rPr>
        <w:t>-2019 (COREPEM)</w:t>
      </w:r>
    </w:p>
    <w:p>
      <w:pPr>
        <w:pStyle w:val="Normal"/>
        <w:rPr>
          <w:rFonts w:ascii="Arial" w:hAnsi="Arial" w:cs="Arial"/>
          <w:b/>
          <w:b/>
          <w:caps/>
        </w:rPr>
      </w:pPr>
      <w:r>
        <w:rPr/>
        <mc:AlternateContent>
          <mc:Choice Requires="wps">
            <w:drawing>
              <wp:inline distT="0" distB="0" distL="0" distR="0" wp14:anchorId="760816B1">
                <wp:extent cx="5769610" cy="8959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000" cy="895320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2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 xml:space="preserve">PORTANT CREATION ET FIXANT LES CONDITIONS D'ATTRIBUTION DE LA LICENCE DE PECHE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POUR LES NAVIRES PECHANT LES HUITRES PLATES DANS LES PERTUIS CHARENTAIS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shapetype_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fillcolor="#d8d8d8" stroked="f" style="position:absolute;margin-left:0pt;margin-top:0pt;width:454.2pt;height:70.45pt" wp14:anchorId="760816B1" type="shapetype_176">
                <w10:wrap type="square"/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2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 xml:space="preserve">PORTANT CREATION ET FIXANT LES CONDITIONS D'ATTRIBUTION DE LA LICENCE DE PECHE 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POUR LES NAVIRES PECHANT LES HUITRES PLATES DANS LES PERTUIS CHARENTAIS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tabs>
          <w:tab w:val="left" w:pos="0" w:leader="none"/>
        </w:tabs>
        <w:ind w:left="720" w:hanging="7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0" w:leader="none"/>
        </w:tabs>
        <w:ind w:left="720" w:hanging="720"/>
        <w:jc w:val="both"/>
        <w:rPr/>
      </w:pPr>
      <w:r>
        <w:rPr>
          <w:rFonts w:cs="Arial" w:ascii="Arial" w:hAnsi="Arial"/>
          <w:b/>
        </w:rPr>
        <w:t>VU</w:t>
      </w:r>
      <w:r>
        <w:rPr>
          <w:rFonts w:cs="Arial" w:ascii="Arial" w:hAnsi="Arial"/>
        </w:rPr>
        <w:tab/>
        <w:t>le code rural et de la pêche maritime ;</w:t>
      </w:r>
    </w:p>
    <w:p>
      <w:pPr>
        <w:pStyle w:val="Normal"/>
        <w:ind w:left="705" w:hanging="70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VU</w:t>
        <w:tab/>
      </w:r>
      <w:r>
        <w:rPr>
          <w:rFonts w:cs="Arial" w:ascii="Arial" w:hAnsi="Arial"/>
        </w:rPr>
        <w:t>l’arrêté du préfet maritime de l’Atlantique n° 2000/80 du 13 octobre 2000 modifié portant interdiction de mouiller, chaluter, draguer et faire usage d’engins trainants et d’engins dormants en raison de la présence de câbles sous-marins dans les eaux maritimes de La Rochelle, Rivedoux-Plage, et La Flotte-en-Ré (Département de la Charente-Maritime);</w:t>
      </w:r>
    </w:p>
    <w:p>
      <w:pPr>
        <w:pStyle w:val="Normal"/>
        <w:ind w:left="720" w:right="0" w:hanging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20" w:hanging="720"/>
        <w:jc w:val="both"/>
        <w:rPr/>
      </w:pPr>
      <w:r>
        <w:rPr>
          <w:rFonts w:cs="Arial" w:ascii="Arial" w:hAnsi="Arial"/>
          <w:b/>
        </w:rPr>
        <w:t>VU</w:t>
        <w:tab/>
      </w:r>
      <w:r>
        <w:rPr>
          <w:rFonts w:cs="Arial" w:ascii="Arial" w:hAnsi="Arial"/>
        </w:rPr>
        <w:t>l'arrêté du préfet de la Charente-Maritime n° 25/2003 du 2 décembre 2003 fixant les lieux de débarquement autorisés des produits de la pêche maritime sur le littoral du département de la Charente-Maritime en vue de leur première mise sur le marché ;</w:t>
      </w:r>
    </w:p>
    <w:p>
      <w:pPr>
        <w:pStyle w:val="Normal"/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20" w:hanging="720"/>
        <w:jc w:val="both"/>
        <w:rPr/>
      </w:pPr>
      <w:r>
        <w:rPr>
          <w:rFonts w:cs="Arial" w:ascii="Arial" w:hAnsi="Arial"/>
          <w:b/>
        </w:rPr>
        <w:t>VU</w:t>
      </w:r>
      <w:r>
        <w:rPr>
          <w:rFonts w:cs="Arial" w:ascii="Arial" w:hAnsi="Arial"/>
        </w:rPr>
        <w:tab/>
        <w:t>l'arrêté du préfet de la Charente-Maritime n° 05-579 du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mars 2005 portant création d'un lotissement de filières conchylicoles dans le Pertuis d'Antioche ;</w:t>
      </w:r>
    </w:p>
    <w:p>
      <w:pPr>
        <w:pStyle w:val="Normal"/>
        <w:tabs>
          <w:tab w:val="left" w:pos="0" w:leader="none"/>
        </w:tabs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ind w:left="720" w:hanging="720"/>
        <w:jc w:val="both"/>
        <w:rPr/>
      </w:pPr>
      <w:r>
        <w:rPr>
          <w:rFonts w:cs="Arial" w:ascii="Arial" w:hAnsi="Arial"/>
          <w:b/>
          <w:bCs/>
        </w:rPr>
        <w:t>VU</w:t>
      </w:r>
      <w:r>
        <w:rPr>
          <w:rFonts w:cs="Arial" w:ascii="Arial" w:hAnsi="Arial"/>
        </w:rPr>
        <w:tab/>
        <w:t>l'arrêté du préfet de la Charente-Maritime et du préfet de la Vendée n° 06-631 du 20 février 2006 portant affectation aux cultures marines d'une zone du domaine public maritime et portant création d'un lotissement ostréicole et mytilicole dans le Pertuis Breton ;</w:t>
      </w:r>
    </w:p>
    <w:p>
      <w:pPr>
        <w:pStyle w:val="Normal"/>
        <w:ind w:left="705" w:hanging="70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VU</w:t>
      </w:r>
      <w:r>
        <w:rPr>
          <w:rFonts w:cs="Arial" w:ascii="Arial" w:hAnsi="Arial"/>
        </w:rPr>
        <w:tab/>
        <w:t>l'arrêté du préfet maritime de l'Atlantique n° 2010/26 du 22 mars 2010 réglementant la navigation dans et autour du lotissement de filières conchylicoles du Pertuis Breton</w:t>
      </w:r>
    </w:p>
    <w:p>
      <w:pPr>
        <w:pStyle w:val="Normal"/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VU </w:t>
        <w:tab/>
      </w:r>
      <w:r>
        <w:rPr>
          <w:rFonts w:cs="Arial" w:ascii="Arial" w:hAnsi="Arial"/>
        </w:rPr>
        <w:t>l’avis du COREPEM Pays de Loire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</w:rPr>
        <w:t xml:space="preserve">Le Bureau du CRPMEM Nouvelle-Aquitaine et le </w:t>
      </w:r>
      <w:r>
        <w:rPr>
          <w:rFonts w:cs="Arial" w:ascii="Arial" w:hAnsi="Arial"/>
          <w:b/>
          <w:color w:val="000000"/>
          <w:sz w:val="22"/>
        </w:rPr>
        <w:t>conseil</w:t>
      </w:r>
      <w:r>
        <w:rPr>
          <w:rFonts w:cs="Arial" w:ascii="Arial" w:hAnsi="Arial"/>
          <w:b/>
          <w:sz w:val="22"/>
        </w:rPr>
        <w:t xml:space="preserve"> du COREPEM Pays de Loire adoptent les dispositions suivantes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Article 1 - Création de licence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 est créé une licence spéciale pour la pêche professionnelle des huîtres plates, dans les pertuis charentais. Seuls les navires titulaires de cette licence sont autorisés à pratiquer la pêche des huitres plates. Cette licence est valable du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septembre de l’année N au 30 avril de l’année N+1.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Article 2 - Délimitation de la zone des Pertuis Charentais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</w:rPr>
        <w:t>La zone des pertuis charentais est la zone située à l’extérieur de la zone de balancement des marées et à l'intérieur du périmètre reliant les points suivants :</w:t>
      </w:r>
    </w:p>
    <w:p>
      <w:pPr>
        <w:pStyle w:val="Normal"/>
        <w:ind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l'Ouest 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Pour le pertuis Breton :</w:t>
      </w:r>
    </w:p>
    <w:tbl>
      <w:tblPr>
        <w:tblW w:w="9597" w:type="dxa"/>
        <w:jc w:val="left"/>
        <w:tblInd w:w="-9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73"/>
        <w:gridCol w:w="3585"/>
        <w:gridCol w:w="1985"/>
        <w:gridCol w:w="1653"/>
      </w:tblGrid>
      <w:tr>
        <w:trPr>
          <w:trHeight w:val="320" w:hRule="atLeast"/>
        </w:trPr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Points géographiques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de positionnement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Longitude W</w:t>
            </w:r>
          </w:p>
        </w:tc>
        <w:tc>
          <w:tcPr>
            <w:tcW w:w="1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Latitude N</w:t>
            </w:r>
          </w:p>
        </w:tc>
      </w:tr>
      <w:tr>
        <w:trPr>
          <w:trHeight w:val="344" w:hRule="atLeast"/>
          <w:cantSplit w:val="true"/>
        </w:trPr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Phare du Grouin du Cou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27’ 49,1’’</w:t>
            </w:r>
          </w:p>
        </w:tc>
        <w:tc>
          <w:tcPr>
            <w:tcW w:w="1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46° 20’ 40,1’’</w:t>
            </w:r>
          </w:p>
        </w:tc>
      </w:tr>
      <w:tr>
        <w:trPr>
          <w:trHeight w:val="311" w:hRule="atLeast"/>
          <w:cantSplit w:val="true"/>
        </w:trPr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 A situé sur la ligne de base droite reliant le Feu des Barges au Phare des Baleineaux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40’ 36,0’’</w:t>
            </w:r>
          </w:p>
        </w:tc>
        <w:tc>
          <w:tcPr>
            <w:tcW w:w="1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46° 20’ 45,00’’</w:t>
            </w:r>
          </w:p>
        </w:tc>
      </w:tr>
      <w:tr>
        <w:trPr>
          <w:trHeight w:val="384" w:hRule="atLeast"/>
          <w:cantSplit w:val="true"/>
        </w:trPr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Phare des Baleineaux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35’ 12,1’’</w:t>
            </w:r>
          </w:p>
        </w:tc>
        <w:tc>
          <w:tcPr>
            <w:tcW w:w="1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46° 15’ 49,1’’</w:t>
            </w:r>
          </w:p>
        </w:tc>
      </w:tr>
      <w:tr>
        <w:trPr>
          <w:trHeight w:val="384" w:hRule="atLeast"/>
          <w:cantSplit w:val="true"/>
        </w:trPr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Phare des Baleines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33’ 39,9’’</w:t>
            </w:r>
          </w:p>
        </w:tc>
        <w:tc>
          <w:tcPr>
            <w:tcW w:w="1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46° 14’ 38,9’’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Pour le pertuis d'Antioche :</w:t>
      </w:r>
    </w:p>
    <w:tbl>
      <w:tblPr>
        <w:tblW w:w="9644" w:type="dxa"/>
        <w:jc w:val="left"/>
        <w:tblInd w:w="-9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02"/>
        <w:gridCol w:w="3657"/>
        <w:gridCol w:w="1913"/>
        <w:gridCol w:w="1771"/>
      </w:tblGrid>
      <w:tr>
        <w:trPr/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points géographiques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de positionnement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Longitude W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Latitude N</w:t>
            </w:r>
          </w:p>
        </w:tc>
      </w:tr>
      <w:tr>
        <w:trPr>
          <w:cantSplit w:val="true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Phare des Baleineaux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35’ 12,1’’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46° 15’ 49,1’’</w:t>
            </w:r>
          </w:p>
        </w:tc>
      </w:tr>
      <w:tr>
        <w:trPr>
          <w:cantSplit w:val="true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Pointe de Chardonnière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23’ 18,2’’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45° 57’ 27,7’’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Pour le pertuis de Maumusson :</w:t>
      </w:r>
    </w:p>
    <w:tbl>
      <w:tblPr>
        <w:tblW w:w="9644" w:type="dxa"/>
        <w:jc w:val="left"/>
        <w:tblInd w:w="-9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02"/>
        <w:gridCol w:w="3657"/>
        <w:gridCol w:w="1913"/>
        <w:gridCol w:w="1771"/>
      </w:tblGrid>
      <w:tr>
        <w:trPr/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points géographiques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de positionnement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Longitude W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Latitude N</w:t>
            </w:r>
          </w:p>
        </w:tc>
      </w:tr>
      <w:tr>
        <w:trPr>
          <w:cantSplit w:val="true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Pointe de Gatseau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14’ 02,9’’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45° 47’ 58,3’’</w:t>
            </w:r>
          </w:p>
        </w:tc>
      </w:tr>
      <w:tr>
        <w:trPr>
          <w:cantSplit w:val="true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Pointe d’Arvert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Système géodésique mondial WGS 84</w:t>
            </w:r>
          </w:p>
        </w:tc>
        <w:tc>
          <w:tcPr>
            <w:tcW w:w="19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001° 14’ 01,4’’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 45° 47’ 23,0’’</w:t>
            </w:r>
          </w:p>
        </w:tc>
      </w:tr>
    </w:tbl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 l'Est</w:t>
      </w:r>
      <w:r>
        <w:rPr>
          <w:rFonts w:cs="Arial" w:ascii="Arial" w:hAnsi="Arial"/>
        </w:rPr>
        <w:t xml:space="preserve"> 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Le Lay : l'embouchure délimitée par une ligne brisée joignant la Pointe d'Arçay, la bouée d’atterissage marquée « Le Lay », à la balise de la Pointe de l'Aiguillon 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la Sèvre Niortaise : le méridien passant par le feu d’entrée du Port du Pavé (Commune de Charron) 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la Charente : le méridien passant par le centre du Fort de la Pointe 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la Seudre : le Pont de la Seudre (route départementale n° 728).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Article 3 - Organisation de la campagne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Les Comités régionaux peuvent, sur proposition du CDPMEM de Charente-Maritime, fixer pour chaque année: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des caractéristiques particulières des navires et des engins de pêche.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</w:rPr>
        <w:t>- un contingent global de licences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- des dates d'ouverture et de fermeture de la pêche, un calendrier et des horaires de pêche.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des quotas de pêche globaux et par licence.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des zones obligatoires de tri de la pêche.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Article 4 – Modalités d’attribution des licences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La licence est attribuée au couple navire - propriétaire par le Comité régional des pêches maritimes et des élevages marins de Nouvelle-Aquitaine et sur proposition du CDPMEM de Charente-Maritime et du COREPEM des Pays de Loire pour les navires immatriculés dans leur quartier maritime.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Pour bénéficier de la licence, le demandeur devra :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exercer l'activité de pêche professionnelle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s’être acquitté des cotisations professionnelles obligatoires (CPO) armateurs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Etre à jour de ses déclarations de captures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Le demandeur de la licence doit être détenteur de l’autorisation administrative « Chalut dans les coureaux »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Article 5 - Dépôt du dossier de demande de licence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demande de licence pour l'année N+1 doit être déposée, auprès du CDPMEM de Charente-Maritime entre le </w:t>
      </w:r>
      <w:r>
        <w:rPr>
          <w:rFonts w:cs="Arial" w:ascii="Arial" w:hAnsi="Arial"/>
          <w:b/>
        </w:rPr>
        <w:t xml:space="preserve">2 mai et le 15 mai de l'année N. </w:t>
      </w:r>
      <w:r>
        <w:rPr>
          <w:rFonts w:cs="Arial" w:ascii="Arial" w:hAnsi="Arial"/>
        </w:rPr>
        <w:t>Toutes les demandes doivent être adressées par courrier, le cachet de la poste faisant foi ou déposées en main propre aux antennes du CDPMEM de Charente-Maritime (Za le riveau, 8, rue Jules Courdavault 17560 Bourcefranc-le-Chapus/ 89, quai du ponant 17045 La Rochelle Cedex)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Elle doit être accompagnée 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de justificatifs des conditions d'attribution définies ci-dessus,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- du paiement du montant du prix de la licence fixé par la délibération financière du CRPMEM Nouvelle-Aquitaine.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Les dossiers incomplets seront renvoyés par courrier aux demandeurs, à la date de clôture des demandes, par le CDPMEM Charente-Maritime chargé de l'instruction des dossiers.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Tout dossier initialement incomplet et régularisé sera instruit en tant que nouvelle demande.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Toute demande de renouvellement de licence déposée au-delà de la date fixée à l'alinéa 1 du présent article devra faire l'objet d'un nouveau dépôt de dossier et sera instruite en tant que nouvelle demande et par ordre d'arrivée des dossiers.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Les nouvelles demandes et les demandes de propriétaires répondant aux conditions de première installation, déposées au-delà de la date fixée à l'alinéa 1 du présent article seront instruites et le cas échéant attribuées dans la limite du contingent de licences.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Article 6 - Mesures de gestion de la ressource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Les huîtres plates d’une taille inférieure à 6 cm doivent être rejetées à la mer avant de rentrer au port.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 quota est fixé à 500kg journalier.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Article 7 - Infractions à la présente délibération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Les infractions à la présente délibération et à celles prises pour son application seront recherchées et poursuivies conformément au code rural et de la pêche maritime.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u w:val="single"/>
        </w:rPr>
        <w:t>Article 8 -Abrogation d’une délibération antérieure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</w:rPr>
        <w:t>La présente délibération annule et remplace la délibération n° 7/2014 du 25 juin 2014 du CRPMEM Poitou-Charentes.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left" w:pos="2880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before="120" w:after="120"/>
        <w:jc w:val="both"/>
        <w:rPr/>
      </w:pPr>
      <w:r>
        <w:rPr>
          <w:rFonts w:cs="Arial" w:ascii="Arial" w:hAnsi="Arial"/>
          <w:i/>
        </w:rPr>
        <w:t>Bordeaux, le 14 décembre 2018</w:t>
      </w:r>
    </w:p>
    <w:p>
      <w:pPr>
        <w:pStyle w:val="Normal"/>
        <w:widowControl w:val="false"/>
        <w:spacing w:before="120" w:after="12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Le président du CRPMEM de Nouvelle-Aquitaine,</w:t>
      </w:r>
    </w:p>
    <w:p>
      <w:pPr>
        <w:pStyle w:val="Normal"/>
        <w:widowControl w:val="false"/>
        <w:jc w:val="right"/>
        <w:rPr>
          <w:rFonts w:ascii="Arial" w:hAnsi="Arial" w:cs="Arial"/>
        </w:rPr>
      </w:pPr>
      <w:bookmarkStart w:id="2" w:name="__DdeLink__296_1634157153"/>
      <w:bookmarkEnd w:id="2"/>
      <w:r>
        <w:rPr>
          <w:rFonts w:cs="Arial" w:ascii="Arial" w:hAnsi="Arial"/>
          <w:b/>
        </w:rPr>
        <w:t xml:space="preserve">Patrick Lafargue </w:t>
      </w:r>
    </w:p>
    <w:p>
      <w:pPr>
        <w:pStyle w:val="Normal"/>
        <w:widowControl w:val="false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before="120" w:after="120"/>
        <w:jc w:val="both"/>
        <w:rPr/>
      </w:pPr>
      <w:r>
        <w:rPr>
          <w:rFonts w:cs="Arial" w:ascii="Arial" w:hAnsi="Arial"/>
          <w:i/>
        </w:rPr>
        <w:t xml:space="preserve">                       </w:t>
      </w:r>
      <w:r>
        <w:rPr>
          <w:rFonts w:cs="Arial" w:ascii="Arial" w:hAnsi="Arial"/>
          <w:i/>
        </w:rPr>
        <w:t>, le</w:t>
      </w:r>
    </w:p>
    <w:p>
      <w:pPr>
        <w:pStyle w:val="Normal"/>
        <w:widowControl w:val="false"/>
        <w:spacing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  <w:b/>
        </w:rPr>
        <w:t>Le président du COREPEM des Pays de Loire,</w:t>
      </w:r>
    </w:p>
    <w:p>
      <w:pPr>
        <w:pStyle w:val="Normal"/>
        <w:widowControl w:val="false"/>
        <w:spacing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  <w:b/>
          <w:i/>
        </w:rPr>
        <w:t xml:space="preserve">José Jouneau </w:t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418" w:header="720" w:top="1418" w:footer="720" w:bottom="1418" w:gutter="0"/>
      <w:pgNumType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auto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45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qFormat/>
    <w:rsid w:val="001d7456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agenumber">
    <w:name w:val="page number"/>
    <w:basedOn w:val="DefaultParagraphFont"/>
    <w:qFormat/>
    <w:rsid w:val="001d7456"/>
    <w:rPr/>
  </w:style>
  <w:style w:type="character" w:styleId="PieddepageCar" w:customStyle="1">
    <w:name w:val="Pied de page Car"/>
    <w:basedOn w:val="DefaultParagraphFont"/>
    <w:link w:val="Pieddepage"/>
    <w:qFormat/>
    <w:rsid w:val="001d7456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d7456"/>
    <w:rPr>
      <w:rFonts w:ascii="Tahoma" w:hAnsi="Tahoma" w:eastAsia="Times New Roman" w:cs="Tahoma"/>
      <w:sz w:val="16"/>
      <w:szCs w:val="16"/>
      <w:lang w:eastAsia="fr-FR"/>
    </w:rPr>
  </w:style>
  <w:style w:type="character" w:styleId="Strong">
    <w:name w:val="Strong"/>
    <w:basedOn w:val="DefaultParagraphFont"/>
    <w:uiPriority w:val="22"/>
    <w:qFormat/>
    <w:rsid w:val="003d179d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179d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3d179d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d179d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ListLabel1" w:customStyle="1">
    <w:name w:val="ListLabel 1"/>
    <w:qFormat/>
    <w:rPr>
      <w:rFonts w:ascii="Arial" w:hAnsi="Arial" w:eastAsia="Times New Roman" w:cs="Times New Roman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ascii="Arial" w:hAnsi="Arial" w:cs="Times New Roman"/>
      <w:b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ascii="Arial" w:hAnsi="Arial"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ascii="Arial" w:hAnsi="Arial" w:cs="Times New Roman"/>
      <w:b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ascii="Arial" w:hAnsi="Arial"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ascii="Arial" w:hAnsi="Arial" w:cs="Times New Roman"/>
      <w:b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ascii="Arial" w:hAnsi="Arial"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ascii="Arial" w:hAnsi="Arial" w:cs="Times New Roman"/>
      <w:b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ascii="Arial" w:hAnsi="Arial"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ascii="Arial" w:hAnsi="Arial" w:cs="Times New Roman"/>
      <w:b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ascii="Arial" w:hAnsi="Arial"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ascii="Arial" w:hAnsi="Arial" w:cs="Times New Roman"/>
      <w:b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ascii="Arial" w:hAnsi="Arial"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>
    <w:name w:val="ListLabel 119"/>
    <w:qFormat/>
    <w:rPr>
      <w:rFonts w:ascii="Arial" w:hAnsi="Arial" w:cs="Times New Roman"/>
      <w:b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Arial" w:hAnsi="Arial"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ibri Light" w:hAnsi="Calibri Light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76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tte">
    <w:name w:val="En-tête"/>
    <w:basedOn w:val="Normal"/>
    <w:rsid w:val="001d7456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link w:val="PieddepageCar"/>
    <w:rsid w:val="001d7456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d745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456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2505e0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fr-FR" w:eastAsia="en-US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3d179d"/>
    <w:pPr/>
    <w:rPr/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3d179d"/>
    <w:pPr/>
    <w:rPr>
      <w:b/>
      <w:bCs/>
    </w:rPr>
  </w:style>
  <w:style w:type="paragraph" w:styleId="Contenudecadre" w:customStyle="1">
    <w:name w:val="Contenu de cadre"/>
    <w:basedOn w:val="Normal"/>
    <w:qFormat/>
    <w:rsid w:val="00810736"/>
    <w:pPr/>
    <w:rPr>
      <w:color w:val="00000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d7456"/>
    <w:rPr>
      <w:lang w:eastAsia="fr-FR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5920-0506-48D1-9AE6-6BE1F7C7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LibreOffice/5.0.6.3.0$Windows_x86 LibreOffice_project/fe46e5b82646505d0acf84e14cef05527e401d3b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2019-04-15T15:47:00Z</dcterms:created>
  <dc:creator>LACROIX Isabelle</dc:creator>
  <dc:language>fr-FR</dc:language>
  <dcterms:modified xsi:type="dcterms:W3CDTF">2019-04-17T14:11:45Z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